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2B4D" w:rsidRDefault="00D8787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ИНСТИТУЦИОНАЛИЗАЦИЯ ЦИФРОВОЙ ЭКОНОМИКИ: </w:t>
      </w:r>
    </w:p>
    <w:p w:rsidR="00662B4D" w:rsidRDefault="00D8787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ВОЗМОЖНОСТИ И ПРОБЛЕМЫ</w:t>
      </w:r>
    </w:p>
    <w:p w:rsidR="00662B4D" w:rsidRDefault="00D8787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Крылова Елена Владимировна, </w:t>
      </w:r>
    </w:p>
    <w:p w:rsidR="00662B4D" w:rsidRDefault="00D8787A">
      <w:pPr>
        <w:spacing w:line="360" w:lineRule="auto"/>
        <w:ind w:firstLine="709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доцент, кандидат экономических наук, доцент, </w:t>
      </w:r>
    </w:p>
    <w:p w:rsidR="00662B4D" w:rsidRDefault="00D8787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kern w:val="2"/>
          <w:sz w:val="28"/>
          <w:szCs w:val="28"/>
        </w:rPr>
        <w:t>Вологодский государственный университет, г. Вологда</w:t>
      </w:r>
      <w:r>
        <w:rPr>
          <w:sz w:val="28"/>
          <w:szCs w:val="28"/>
        </w:rPr>
        <w:t xml:space="preserve"> </w:t>
      </w:r>
    </w:p>
    <w:p w:rsidR="00662B4D" w:rsidRDefault="00D8787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Аннотация.</w:t>
      </w:r>
      <w:r>
        <w:rPr>
          <w:sz w:val="24"/>
          <w:szCs w:val="24"/>
        </w:rPr>
        <w:t xml:space="preserve"> Исследование цифровой экономки является актуальным. В настоящее время происходит институционализация цифровой экономики. Данный процесс является объективным он имеет свои возможности и проблемы. В статье рассмотрено понятие инст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туционализации, представлены направления развития цифровой экономики, проанализир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ваны возможности и проблемы институционализации цифровой экономики.</w:t>
      </w:r>
    </w:p>
    <w:p w:rsidR="00662B4D" w:rsidRDefault="00D8787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Ключевые слова:</w:t>
      </w:r>
      <w:r>
        <w:rPr>
          <w:sz w:val="24"/>
          <w:szCs w:val="24"/>
        </w:rPr>
        <w:t xml:space="preserve"> цифровая экономика, институционализация, деинституционализ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ция, институциональное равновесие, цифровое пространство, экономические отношения, 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лайн-медицина, онлайн-образование.</w:t>
      </w:r>
    </w:p>
    <w:p w:rsidR="00662B4D" w:rsidRDefault="00D8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пришло такое время, когда цифровая экономика перестала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ствовать как цель и трансформировалась в реальность. Электронно-цифровое пространство становится всё более масштабным и содержательным. В связи с этим трансформируются привычки и ожидания экономических агентов. С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ституциональной точки зрения, любые изменения могут приводить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скую систему либо к институциональному равновесию, либо наоборот, это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новесие нарушать.   В науке принято различать такие явления как институци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нализация и деинституционализация экономических отношений. Институци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нализация экономических отношений предполагает достижение экономической системой институционального равновесия. Институциональное равновесие для экономических агентов - это ситуация, когда ни дин из них не стремится к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менению правил. Поэтому сегодня в условиях экономической нестабильности очень важно разобраться в возможностях и проблемах институционализации цифровой экономики.</w:t>
      </w:r>
    </w:p>
    <w:p w:rsidR="00662B4D" w:rsidRDefault="00D8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цифровая экономика на сегодняшний день станови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более «реальной», её инструментами пользуются все и практически везде,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не всегда можно встретить позитивную критику данного явления. Цифровая экономика - это социально-экономические отношения, которые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никают по поводу применения информационных ресурсов и информационных технологий [1]. Основной целью применения инструментов цифровой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мики является повышение эффективности процессов производства и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Если вести речь об основных направлениях цифровизации экономики в России, то можно остановиться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следующих:</w:t>
      </w:r>
    </w:p>
    <w:p w:rsidR="00662B4D" w:rsidRDefault="00D8787A">
      <w:pPr>
        <w:pStyle w:val="4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ключевые</w:t>
      </w:r>
      <w:proofErr w:type="gramEnd"/>
      <w:r>
        <w:rPr>
          <w:sz w:val="28"/>
          <w:szCs w:val="28"/>
        </w:rPr>
        <w:t xml:space="preserve"> онлайн-сервисы в сфере госуслуг; </w:t>
      </w:r>
    </w:p>
    <w:p w:rsidR="00662B4D" w:rsidRDefault="00D8787A">
      <w:pPr>
        <w:pStyle w:val="4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закупки;</w:t>
      </w:r>
    </w:p>
    <w:p w:rsidR="00662B4D" w:rsidRDefault="00D8787A">
      <w:pPr>
        <w:pStyle w:val="4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онлайн-образование;</w:t>
      </w:r>
    </w:p>
    <w:p w:rsidR="00662B4D" w:rsidRDefault="00D8787A">
      <w:pPr>
        <w:pStyle w:val="4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онлайн-медицина;</w:t>
      </w:r>
    </w:p>
    <w:p w:rsidR="00662B4D" w:rsidRDefault="00D8787A">
      <w:pPr>
        <w:pStyle w:val="41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криптовалютные операции. </w:t>
      </w:r>
    </w:p>
    <w:p w:rsidR="00662B4D" w:rsidRDefault="00D8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Образование, медицина, финансовый сектор, предоставление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услуг - это те сферы, которые активно применяют сегодня инстр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цифровой экономики. Рассмотрим институционализацию цифровой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номики с точки зрения перспектив развития данных направлений, так как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 интенсивности применения информационных технологий в данных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рах определяет внедрение информационных технологий в другие не менее ва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ные отрасли народного хозяйства. </w:t>
      </w:r>
    </w:p>
    <w:p w:rsidR="00662B4D" w:rsidRDefault="00D8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институциональной точки </w:t>
      </w:r>
      <w:proofErr w:type="gramStart"/>
      <w:r>
        <w:rPr>
          <w:sz w:val="28"/>
          <w:szCs w:val="28"/>
        </w:rPr>
        <w:t>зрения</w:t>
      </w:r>
      <w:proofErr w:type="gramEnd"/>
      <w:r>
        <w:rPr>
          <w:sz w:val="28"/>
          <w:szCs w:val="28"/>
        </w:rPr>
        <w:t xml:space="preserve"> перечисленные выше сферы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руют устойчивые модели поведения. Большую роль в цифровизации экономики играет интернет. По данным </w:t>
      </w:r>
      <w:proofErr w:type="spellStart"/>
      <w:r>
        <w:rPr>
          <w:sz w:val="28"/>
          <w:szCs w:val="28"/>
        </w:rPr>
        <w:t>Всероссийского</w:t>
      </w:r>
      <w:proofErr w:type="spellEnd"/>
      <w:r>
        <w:rPr>
          <w:sz w:val="28"/>
          <w:szCs w:val="28"/>
        </w:rPr>
        <w:t xml:space="preserve"> омнибуса </w:t>
      </w:r>
      <w:proofErr w:type="spellStart"/>
      <w:r>
        <w:rPr>
          <w:sz w:val="28"/>
          <w:szCs w:val="28"/>
        </w:rPr>
        <w:t>GfK</w:t>
      </w:r>
      <w:proofErr w:type="spellEnd"/>
      <w:r>
        <w:rPr>
          <w:sz w:val="28"/>
          <w:szCs w:val="28"/>
        </w:rPr>
        <w:t xml:space="preserve">, к началу 2019 г. количество интернет-пользователей в возрасте 16+ составило 90 млн. чел. (+3 млн. человек к уровню 2017 г.), что эквивалентно 75% взрослого населения страны [2]. </w:t>
      </w:r>
    </w:p>
    <w:p w:rsidR="00662B4D" w:rsidRDefault="00D8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речь идёт о финансовой сфере, то количество пользователей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совых онлайн сервисов постоянно растёт. Банки предлагают различные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 и услуги, привлекая потребителей с разными возможностями. Причём в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мом финансовом секторе происходит совершенствование инфраструктуры в связи с ростом конкуренции.</w:t>
      </w:r>
    </w:p>
    <w:p w:rsidR="00662B4D" w:rsidRDefault="00D8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онлайн - образования и онлайн - медицины, то условием успешного развития данных отраслей должна быть цифровая грамотность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ступность высокоскоростного интернета и цифровых устройств. Поэтому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ровые возможности данных отраслей ещё нуждаются в существенной дорабо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ке. По данным </w:t>
      </w:r>
      <w:proofErr w:type="gramStart"/>
      <w:r>
        <w:rPr>
          <w:sz w:val="28"/>
          <w:szCs w:val="28"/>
        </w:rPr>
        <w:t>исследования цифровой грамотности населения, проведенного в 2020 году НАФИ высоким уровнем цифровой грамотности обладает</w:t>
      </w:r>
      <w:proofErr w:type="gramEnd"/>
      <w:r>
        <w:rPr>
          <w:sz w:val="28"/>
          <w:szCs w:val="28"/>
        </w:rPr>
        <w:t xml:space="preserve"> 27%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сиян [3].</w:t>
      </w:r>
    </w:p>
    <w:p w:rsidR="00662B4D" w:rsidRDefault="00D8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к факторам, способствующим развитию цифровой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мики следует отнести: государственную поддержку цифровизации, потому что это приведёт к повышению темпов экономического развития и конкурентосп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собности национальной экономики; наличие цифровой инфраструктуры,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рая соответствует современным вызовам; наличие компетентных пользователей и кадров, которые являются специалистами и в содержании предметной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сти и в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сфере.</w:t>
      </w:r>
    </w:p>
    <w:p w:rsidR="00662B4D" w:rsidRDefault="00D8787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Здесь также отметим проблемы институционализации цифровой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мики: государство заинтересовано в развитии цифровых технологий, но не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гда своевременно реагирует на проблемы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сферы из-за так называемого «пр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вала» - временного лага; цифровая инфраструктура существует и она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 вызовам времени, но распределена неравномерно по отраслям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государства; цифровая грамотность у большинства населения не сфо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мирована до конца.  </w:t>
      </w:r>
      <w:proofErr w:type="gramEnd"/>
    </w:p>
    <w:p w:rsidR="00662B4D" w:rsidRDefault="00D8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отметить и то, что у данных проблем существуют объективные причины. Главные из них: ускорение технологического обновления; непредск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зуемость рынка; технологическая дефляция [4]. </w:t>
      </w:r>
    </w:p>
    <w:p w:rsidR="00662B4D" w:rsidRDefault="00D878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России развитие цифровой экономики может стать стержнем,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собным сократить разрыв в уровне развития информационных технологий и в целом повысить основные макроэкономические показатели, реализовать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тегию наноэкономики [5]. Поэтому необходимо и в дальнейшем исследовать перспективы и проблемы институционализации экономических отношений в целом и цифровой экономики, как инструмента развития данных отношений, в частности.</w:t>
      </w:r>
    </w:p>
    <w:p w:rsidR="00D8787A" w:rsidRPr="001C4079" w:rsidRDefault="00D8787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62B4D" w:rsidRDefault="00D8787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Список цитируемых источников</w:t>
      </w:r>
    </w:p>
    <w:p w:rsidR="00662B4D" w:rsidRDefault="00F2747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787A">
        <w:rPr>
          <w:rFonts w:ascii="Times New Roman" w:hAnsi="Times New Roman"/>
          <w:sz w:val="24"/>
          <w:szCs w:val="24"/>
        </w:rPr>
        <w:t>Горбунов, В. А. Особенности облачных вычислений в цифровой экономике / В. А. Горбунов, Е. В. Крылова // Интеллектуально-информационные системы и интеллектуал</w:t>
      </w:r>
      <w:r w:rsidR="00D8787A">
        <w:rPr>
          <w:rFonts w:ascii="Times New Roman" w:hAnsi="Times New Roman"/>
          <w:sz w:val="24"/>
          <w:szCs w:val="24"/>
        </w:rPr>
        <w:t>ь</w:t>
      </w:r>
      <w:r w:rsidR="00D8787A">
        <w:rPr>
          <w:rFonts w:ascii="Times New Roman" w:hAnsi="Times New Roman"/>
          <w:sz w:val="24"/>
          <w:szCs w:val="24"/>
        </w:rPr>
        <w:t>ный бизнес (ИНФОС-2019)</w:t>
      </w:r>
      <w:proofErr w:type="gramStart"/>
      <w:r w:rsidR="00D878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8787A">
        <w:rPr>
          <w:rFonts w:ascii="Times New Roman" w:hAnsi="Times New Roman"/>
          <w:sz w:val="24"/>
          <w:szCs w:val="24"/>
        </w:rPr>
        <w:t xml:space="preserve"> материалы десятой международной научно-практической конференции (Вологды, 28–29 июня 2019 г.). – Вологда</w:t>
      </w:r>
      <w:proofErr w:type="gramStart"/>
      <w:r w:rsidR="00D878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8787A">
        <w:rPr>
          <w:rFonts w:ascii="Times New Roman" w:hAnsi="Times New Roman"/>
          <w:sz w:val="24"/>
          <w:szCs w:val="24"/>
        </w:rPr>
        <w:t xml:space="preserve"> ВоГУ. – 2019. –  С. 129–132. </w:t>
      </w:r>
    </w:p>
    <w:p w:rsidR="00662B4D" w:rsidRDefault="00F2747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787A">
        <w:rPr>
          <w:rFonts w:ascii="Times New Roman" w:hAnsi="Times New Roman"/>
          <w:sz w:val="24"/>
          <w:szCs w:val="24"/>
        </w:rPr>
        <w:t xml:space="preserve">Седых, И. А. Рынок инновационных и финансовых технологий – 2019  / И. А. Седых. – </w:t>
      </w:r>
      <w:r w:rsidR="00D8787A">
        <w:rPr>
          <w:rFonts w:ascii="Times New Roman" w:hAnsi="Times New Roman"/>
          <w:sz w:val="24"/>
          <w:szCs w:val="24"/>
          <w:lang w:val="en-US"/>
        </w:rPr>
        <w:t>URL</w:t>
      </w:r>
      <w:r w:rsidR="00D8787A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D8787A">
          <w:rPr>
            <w:rStyle w:val="Hyperlink0"/>
            <w:rFonts w:ascii="Times New Roman" w:hAnsi="Times New Roman"/>
            <w:sz w:val="24"/>
            <w:szCs w:val="24"/>
          </w:rPr>
          <w:t>https://dcenter.hse.ru/data/2019/12/11/1524406294/%D0%A0%D1%8B%D0%BD%D0%BE%D0%BA%20%D1%84%D0%B8%D0%BD%D0%B0%D0%BD%D1%81%D0%BE%D0%B2%D1%8B%D1%85%20%D1%82%D0%B5%D1%85%D0%BD%D0%BE%D0%BB%D0%BE%D0%B3%D0%B8%D0%B9-2019.pdf</w:t>
        </w:r>
      </w:hyperlink>
      <w:r w:rsidR="00D8787A">
        <w:rPr>
          <w:rFonts w:ascii="Times New Roman" w:hAnsi="Times New Roman"/>
          <w:sz w:val="24"/>
          <w:szCs w:val="24"/>
        </w:rPr>
        <w:t xml:space="preserve"> (дата обращения: 19.08.2020). – Текст</w:t>
      </w:r>
      <w:proofErr w:type="gramStart"/>
      <w:r w:rsidR="00D878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8787A">
        <w:rPr>
          <w:rFonts w:ascii="Times New Roman" w:hAnsi="Times New Roman"/>
          <w:sz w:val="24"/>
          <w:szCs w:val="24"/>
        </w:rPr>
        <w:t xml:space="preserve"> электронный.</w:t>
      </w:r>
    </w:p>
    <w:p w:rsidR="00662B4D" w:rsidRDefault="003743C8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8787A">
        <w:rPr>
          <w:rFonts w:ascii="Times New Roman" w:hAnsi="Times New Roman"/>
          <w:sz w:val="24"/>
          <w:szCs w:val="24"/>
        </w:rPr>
        <w:t xml:space="preserve">Цифровая грамотность россиян: исследование 2020. – </w:t>
      </w:r>
      <w:r w:rsidR="00D8787A">
        <w:rPr>
          <w:rFonts w:ascii="Times New Roman" w:hAnsi="Times New Roman"/>
          <w:sz w:val="24"/>
          <w:szCs w:val="24"/>
          <w:lang w:val="en-US"/>
        </w:rPr>
        <w:t>URL</w:t>
      </w:r>
      <w:r w:rsidR="00D8787A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D8787A">
          <w:rPr>
            <w:rStyle w:val="Hyperlink1"/>
            <w:rFonts w:ascii="Times New Roman" w:hAnsi="Times New Roman"/>
            <w:sz w:val="24"/>
            <w:szCs w:val="24"/>
          </w:rPr>
          <w:t>https://nafi.ru/analytics/tsifrovaya-gramotnost-rossiyan-issledovanie-2020</w:t>
        </w:r>
      </w:hyperlink>
      <w:r w:rsidR="00D8787A">
        <w:rPr>
          <w:rStyle w:val="a7"/>
          <w:rFonts w:ascii="Times New Roman" w:hAnsi="Times New Roman"/>
          <w:sz w:val="24"/>
          <w:szCs w:val="24"/>
        </w:rPr>
        <w:t xml:space="preserve"> (дата обращения: 20.08.2020). – Текст</w:t>
      </w:r>
      <w:proofErr w:type="gramStart"/>
      <w:r w:rsidR="00D8787A">
        <w:rPr>
          <w:rStyle w:val="a7"/>
          <w:rFonts w:ascii="Times New Roman" w:hAnsi="Times New Roman"/>
          <w:sz w:val="24"/>
          <w:szCs w:val="24"/>
        </w:rPr>
        <w:t xml:space="preserve"> :</w:t>
      </w:r>
      <w:proofErr w:type="gramEnd"/>
      <w:r w:rsidR="00D8787A">
        <w:rPr>
          <w:rStyle w:val="a7"/>
          <w:rFonts w:ascii="Times New Roman" w:hAnsi="Times New Roman"/>
          <w:sz w:val="24"/>
          <w:szCs w:val="24"/>
        </w:rPr>
        <w:t xml:space="preserve"> электронный.</w:t>
      </w:r>
    </w:p>
    <w:p w:rsidR="00662B4D" w:rsidRDefault="00F2747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8787A">
        <w:rPr>
          <w:rStyle w:val="a7"/>
          <w:rFonts w:ascii="Times New Roman" w:hAnsi="Times New Roman"/>
          <w:sz w:val="24"/>
          <w:szCs w:val="24"/>
          <w:shd w:val="clear" w:color="auto" w:fill="FFFFFF"/>
        </w:rPr>
        <w:t>Медведев, Д. А. Россия – 2024: Стратегия социально-экономического развития / Д. А. Медведев // Вопросы экономики. – 2018. – № 10. – С. 5–28.</w:t>
      </w:r>
    </w:p>
    <w:p w:rsidR="00662B4D" w:rsidRDefault="00F2747F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</w:t>
      </w:r>
      <w:r w:rsidR="00D8787A">
        <w:rPr>
          <w:rStyle w:val="a7"/>
          <w:rFonts w:ascii="Times New Roman" w:hAnsi="Times New Roman"/>
          <w:sz w:val="24"/>
          <w:szCs w:val="24"/>
        </w:rPr>
        <w:t>Горбунов, В. А. Механизмы реализации цифровой экономики / В. А. Горбунов, Е. В. Крылова // Интеллектуально-информационные системы и интеллектуальный бизнес (И</w:t>
      </w:r>
      <w:r w:rsidR="00D8787A">
        <w:rPr>
          <w:rStyle w:val="a7"/>
          <w:rFonts w:ascii="Times New Roman" w:hAnsi="Times New Roman"/>
          <w:sz w:val="24"/>
          <w:szCs w:val="24"/>
        </w:rPr>
        <w:t>Н</w:t>
      </w:r>
      <w:r w:rsidR="00D8787A">
        <w:rPr>
          <w:rStyle w:val="a7"/>
          <w:rFonts w:ascii="Times New Roman" w:hAnsi="Times New Roman"/>
          <w:sz w:val="24"/>
          <w:szCs w:val="24"/>
        </w:rPr>
        <w:t>ФОС-2017)</w:t>
      </w:r>
      <w:proofErr w:type="gramStart"/>
      <w:r w:rsidR="00D8787A">
        <w:rPr>
          <w:rStyle w:val="a7"/>
          <w:rFonts w:ascii="Times New Roman" w:hAnsi="Times New Roman"/>
          <w:sz w:val="24"/>
          <w:szCs w:val="24"/>
        </w:rPr>
        <w:t xml:space="preserve"> :</w:t>
      </w:r>
      <w:proofErr w:type="gramEnd"/>
      <w:r w:rsidR="00D8787A">
        <w:rPr>
          <w:rStyle w:val="a7"/>
          <w:rFonts w:ascii="Times New Roman" w:hAnsi="Times New Roman"/>
          <w:sz w:val="24"/>
          <w:szCs w:val="24"/>
        </w:rPr>
        <w:t xml:space="preserve"> девятая международная научно-техническая конференция, посвященная 175-летию со дня рождения Х.С. </w:t>
      </w:r>
      <w:proofErr w:type="spellStart"/>
      <w:r w:rsidR="00D8787A">
        <w:rPr>
          <w:rStyle w:val="a7"/>
          <w:rFonts w:ascii="Times New Roman" w:hAnsi="Times New Roman"/>
          <w:sz w:val="24"/>
          <w:szCs w:val="24"/>
        </w:rPr>
        <w:t>Леденцова</w:t>
      </w:r>
      <w:proofErr w:type="spellEnd"/>
      <w:r w:rsidR="00D8787A">
        <w:rPr>
          <w:rStyle w:val="a7"/>
          <w:rFonts w:ascii="Times New Roman" w:hAnsi="Times New Roman"/>
          <w:sz w:val="24"/>
          <w:szCs w:val="24"/>
        </w:rPr>
        <w:t xml:space="preserve"> (Вологда, 30 июня – 1 июля 2017г.) / [ответстве</w:t>
      </w:r>
      <w:r w:rsidR="00D8787A">
        <w:rPr>
          <w:rStyle w:val="a7"/>
          <w:rFonts w:ascii="Times New Roman" w:hAnsi="Times New Roman"/>
          <w:sz w:val="24"/>
          <w:szCs w:val="24"/>
        </w:rPr>
        <w:t>н</w:t>
      </w:r>
      <w:r w:rsidR="00D8787A">
        <w:rPr>
          <w:rStyle w:val="a7"/>
          <w:rFonts w:ascii="Times New Roman" w:hAnsi="Times New Roman"/>
          <w:sz w:val="24"/>
          <w:szCs w:val="24"/>
        </w:rPr>
        <w:t xml:space="preserve">ный редактор В. А. Горбунов]. – Вологда, 2017. – С. 42–45. – </w:t>
      </w:r>
      <w:r w:rsidR="00D8787A">
        <w:rPr>
          <w:rStyle w:val="a7"/>
          <w:rFonts w:ascii="Times New Roman" w:hAnsi="Times New Roman"/>
          <w:sz w:val="24"/>
          <w:szCs w:val="24"/>
          <w:lang w:val="en-US"/>
        </w:rPr>
        <w:t>URL</w:t>
      </w:r>
      <w:r w:rsidR="00D8787A">
        <w:rPr>
          <w:rStyle w:val="a7"/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D8787A">
          <w:rPr>
            <w:rStyle w:val="Hyperlink2"/>
            <w:rFonts w:ascii="Times New Roman" w:hAnsi="Times New Roman"/>
            <w:sz w:val="24"/>
            <w:szCs w:val="24"/>
          </w:rPr>
          <w:t>http</w:t>
        </w:r>
        <w:r w:rsidR="00D8787A">
          <w:rPr>
            <w:rStyle w:val="Hyperlink00"/>
            <w:rFonts w:ascii="Times New Roman" w:hAnsi="Times New Roman"/>
            <w:sz w:val="24"/>
            <w:szCs w:val="24"/>
          </w:rPr>
          <w:t>://</w:t>
        </w:r>
        <w:r w:rsidR="00D8787A">
          <w:rPr>
            <w:rStyle w:val="Hyperlink2"/>
            <w:rFonts w:ascii="Times New Roman" w:hAnsi="Times New Roman"/>
            <w:sz w:val="24"/>
            <w:szCs w:val="24"/>
          </w:rPr>
          <w:t>library</w:t>
        </w:r>
        <w:r w:rsidR="00D8787A">
          <w:rPr>
            <w:rStyle w:val="Hyperlink00"/>
            <w:rFonts w:ascii="Times New Roman" w:hAnsi="Times New Roman"/>
            <w:sz w:val="24"/>
            <w:szCs w:val="24"/>
          </w:rPr>
          <w:t>.</w:t>
        </w:r>
        <w:proofErr w:type="spellStart"/>
        <w:r w:rsidR="00D8787A">
          <w:rPr>
            <w:rStyle w:val="Hyperlink2"/>
            <w:rFonts w:ascii="Times New Roman" w:hAnsi="Times New Roman"/>
            <w:sz w:val="24"/>
            <w:szCs w:val="24"/>
          </w:rPr>
          <w:t>vogu</w:t>
        </w:r>
        <w:proofErr w:type="spellEnd"/>
        <w:r w:rsidR="00D8787A">
          <w:rPr>
            <w:rStyle w:val="Hyperlink00"/>
            <w:rFonts w:ascii="Times New Roman" w:hAnsi="Times New Roman"/>
            <w:sz w:val="24"/>
            <w:szCs w:val="24"/>
          </w:rPr>
          <w:t>35.</w:t>
        </w:r>
        <w:proofErr w:type="spellStart"/>
        <w:r w:rsidR="00D8787A">
          <w:rPr>
            <w:rStyle w:val="Hyperlink2"/>
            <w:rFonts w:ascii="Times New Roman" w:hAnsi="Times New Roman"/>
            <w:sz w:val="24"/>
            <w:szCs w:val="24"/>
          </w:rPr>
          <w:t>ru</w:t>
        </w:r>
        <w:proofErr w:type="spellEnd"/>
        <w:r w:rsidR="00D8787A">
          <w:rPr>
            <w:rStyle w:val="Hyperlink00"/>
            <w:rFonts w:ascii="Times New Roman" w:hAnsi="Times New Roman"/>
            <w:sz w:val="24"/>
            <w:szCs w:val="24"/>
          </w:rPr>
          <w:t>/</w:t>
        </w:r>
        <w:proofErr w:type="spellStart"/>
        <w:r w:rsidR="00D8787A">
          <w:rPr>
            <w:rStyle w:val="Hyperlink2"/>
            <w:rFonts w:ascii="Times New Roman" w:hAnsi="Times New Roman"/>
            <w:sz w:val="24"/>
            <w:szCs w:val="24"/>
          </w:rPr>
          <w:t>biblio</w:t>
        </w:r>
        <w:proofErr w:type="spellEnd"/>
        <w:r w:rsidR="00D8787A">
          <w:rPr>
            <w:rStyle w:val="Hyperlink00"/>
            <w:rFonts w:ascii="Times New Roman" w:hAnsi="Times New Roman"/>
            <w:sz w:val="24"/>
            <w:szCs w:val="24"/>
          </w:rPr>
          <w:t>/</w:t>
        </w:r>
        <w:proofErr w:type="spellStart"/>
        <w:r w:rsidR="00D8787A">
          <w:rPr>
            <w:rStyle w:val="Hyperlink2"/>
            <w:rFonts w:ascii="Times New Roman" w:hAnsi="Times New Roman"/>
            <w:sz w:val="24"/>
            <w:szCs w:val="24"/>
          </w:rPr>
          <w:t>gorbunov</w:t>
        </w:r>
        <w:proofErr w:type="spellEnd"/>
        <w:r w:rsidR="00D8787A">
          <w:rPr>
            <w:rStyle w:val="Hyperlink00"/>
            <w:rFonts w:ascii="Times New Roman" w:hAnsi="Times New Roman"/>
            <w:sz w:val="24"/>
            <w:szCs w:val="24"/>
          </w:rPr>
          <w:t>/</w:t>
        </w:r>
        <w:r w:rsidR="00D8787A">
          <w:rPr>
            <w:rStyle w:val="Hyperlink2"/>
            <w:rFonts w:ascii="Times New Roman" w:hAnsi="Times New Roman"/>
            <w:sz w:val="24"/>
            <w:szCs w:val="24"/>
          </w:rPr>
          <w:t>book</w:t>
        </w:r>
        <w:r w:rsidR="00D8787A">
          <w:rPr>
            <w:rStyle w:val="Hyperlink00"/>
            <w:rFonts w:ascii="Times New Roman" w:hAnsi="Times New Roman"/>
            <w:sz w:val="24"/>
            <w:szCs w:val="24"/>
          </w:rPr>
          <w:t>11/2017_</w:t>
        </w:r>
        <w:proofErr w:type="spellStart"/>
        <w:r w:rsidR="00D8787A">
          <w:rPr>
            <w:rStyle w:val="Hyperlink2"/>
            <w:rFonts w:ascii="Times New Roman" w:hAnsi="Times New Roman"/>
            <w:sz w:val="24"/>
            <w:szCs w:val="24"/>
          </w:rPr>
          <w:t>gorbunov</w:t>
        </w:r>
        <w:proofErr w:type="spellEnd"/>
        <w:r w:rsidR="00D8787A">
          <w:rPr>
            <w:rStyle w:val="Hyperlink00"/>
            <w:rFonts w:ascii="Times New Roman" w:hAnsi="Times New Roman"/>
            <w:sz w:val="24"/>
            <w:szCs w:val="24"/>
          </w:rPr>
          <w:t>_</w:t>
        </w:r>
        <w:proofErr w:type="spellStart"/>
        <w:r w:rsidR="00D8787A">
          <w:rPr>
            <w:rStyle w:val="Hyperlink2"/>
            <w:rFonts w:ascii="Times New Roman" w:hAnsi="Times New Roman"/>
            <w:sz w:val="24"/>
            <w:szCs w:val="24"/>
          </w:rPr>
          <w:t>infos</w:t>
        </w:r>
        <w:proofErr w:type="spellEnd"/>
        <w:r w:rsidR="00D8787A">
          <w:rPr>
            <w:rStyle w:val="Hyperlink00"/>
            <w:rFonts w:ascii="Times New Roman" w:hAnsi="Times New Roman"/>
            <w:sz w:val="24"/>
            <w:szCs w:val="24"/>
          </w:rPr>
          <w:t>.</w:t>
        </w:r>
        <w:proofErr w:type="spellStart"/>
        <w:r w:rsidR="00D8787A">
          <w:rPr>
            <w:rStyle w:val="Hyperlink2"/>
            <w:rFonts w:ascii="Times New Roman" w:hAnsi="Times New Roman"/>
            <w:sz w:val="24"/>
            <w:szCs w:val="24"/>
          </w:rPr>
          <w:t>pdf</w:t>
        </w:r>
        <w:proofErr w:type="spellEnd"/>
      </w:hyperlink>
      <w:r w:rsidR="00D8787A">
        <w:rPr>
          <w:rStyle w:val="a7"/>
          <w:rFonts w:ascii="Times New Roman" w:hAnsi="Times New Roman"/>
          <w:sz w:val="24"/>
          <w:szCs w:val="24"/>
        </w:rPr>
        <w:t xml:space="preserve"> (дата обращения: 20.08.2020). – Режим доступа: для </w:t>
      </w:r>
      <w:proofErr w:type="spellStart"/>
      <w:r w:rsidR="00D8787A">
        <w:rPr>
          <w:rStyle w:val="a7"/>
          <w:rFonts w:ascii="Times New Roman" w:hAnsi="Times New Roman"/>
          <w:sz w:val="24"/>
          <w:szCs w:val="24"/>
        </w:rPr>
        <w:t>авториз</w:t>
      </w:r>
      <w:proofErr w:type="spellEnd"/>
      <w:r w:rsidR="00D8787A">
        <w:rPr>
          <w:rStyle w:val="a7"/>
          <w:rFonts w:ascii="Times New Roman" w:hAnsi="Times New Roman"/>
          <w:sz w:val="24"/>
          <w:szCs w:val="24"/>
        </w:rPr>
        <w:t>. пользователей. – Текст</w:t>
      </w:r>
      <w:proofErr w:type="gramStart"/>
      <w:r w:rsidR="00D8787A">
        <w:rPr>
          <w:rStyle w:val="a7"/>
          <w:rFonts w:ascii="Times New Roman" w:hAnsi="Times New Roman"/>
          <w:sz w:val="24"/>
          <w:szCs w:val="24"/>
        </w:rPr>
        <w:t xml:space="preserve"> :</w:t>
      </w:r>
      <w:proofErr w:type="gramEnd"/>
      <w:r w:rsidR="00D8787A">
        <w:rPr>
          <w:rStyle w:val="a7"/>
          <w:rFonts w:ascii="Times New Roman" w:hAnsi="Times New Roman"/>
          <w:sz w:val="24"/>
          <w:szCs w:val="24"/>
        </w:rPr>
        <w:t xml:space="preserve"> электронный.</w:t>
      </w:r>
    </w:p>
    <w:sectPr w:rsidR="00662B4D" w:rsidSect="001C4079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BC3" w:rsidRDefault="00620BC3" w:rsidP="00662B4D">
      <w:r>
        <w:separator/>
      </w:r>
    </w:p>
  </w:endnote>
  <w:endnote w:type="continuationSeparator" w:id="0">
    <w:p w:rsidR="00620BC3" w:rsidRDefault="00620BC3" w:rsidP="0066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4D" w:rsidRDefault="00662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BC3" w:rsidRDefault="00620BC3" w:rsidP="00662B4D">
      <w:r>
        <w:separator/>
      </w:r>
    </w:p>
  </w:footnote>
  <w:footnote w:type="continuationSeparator" w:id="0">
    <w:p w:rsidR="00620BC3" w:rsidRDefault="00620BC3" w:rsidP="00662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B4D" w:rsidRDefault="00662B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DD6"/>
    <w:multiLevelType w:val="hybridMultilevel"/>
    <w:tmpl w:val="7F4AAB40"/>
    <w:styleLink w:val="a"/>
    <w:lvl w:ilvl="0" w:tplc="572E10A8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38CB50">
      <w:start w:val="1"/>
      <w:numFmt w:val="decimal"/>
      <w:lvlText w:val="%2."/>
      <w:lvlJc w:val="left"/>
      <w:pPr>
        <w:tabs>
          <w:tab w:val="left" w:pos="708"/>
          <w:tab w:val="left" w:pos="851"/>
          <w:tab w:val="left" w:pos="962"/>
          <w:tab w:val="num" w:pos="13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800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29CEA">
      <w:start w:val="1"/>
      <w:numFmt w:val="decimal"/>
      <w:lvlText w:val="%3."/>
      <w:lvlJc w:val="left"/>
      <w:pPr>
        <w:tabs>
          <w:tab w:val="left" w:pos="708"/>
          <w:tab w:val="left" w:pos="851"/>
          <w:tab w:val="left" w:pos="962"/>
          <w:tab w:val="left" w:pos="1416"/>
          <w:tab w:val="num" w:pos="21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600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5A52B6">
      <w:start w:val="1"/>
      <w:numFmt w:val="decimal"/>
      <w:lvlText w:val="%4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num" w:pos="29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2400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BA0E94">
      <w:start w:val="1"/>
      <w:numFmt w:val="decimal"/>
      <w:lvlText w:val="%5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num" w:pos="37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3200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0C5FD2">
      <w:start w:val="1"/>
      <w:numFmt w:val="decimal"/>
      <w:lvlText w:val="%6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num" w:pos="456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4000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BE9F7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480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C1508">
      <w:start w:val="1"/>
      <w:numFmt w:val="decimal"/>
      <w:lvlText w:val="%8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67"/>
          <w:tab w:val="left" w:pos="6372"/>
          <w:tab w:val="left" w:pos="7080"/>
          <w:tab w:val="left" w:pos="7788"/>
          <w:tab w:val="left" w:pos="8496"/>
          <w:tab w:val="left" w:pos="8640"/>
        </w:tabs>
        <w:ind w:left="5600" w:firstLine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40CA8">
      <w:start w:val="1"/>
      <w:numFmt w:val="decimal"/>
      <w:lvlText w:val="%9."/>
      <w:lvlJc w:val="left"/>
      <w:pPr>
        <w:tabs>
          <w:tab w:val="left" w:pos="708"/>
          <w:tab w:val="left" w:pos="851"/>
          <w:tab w:val="left" w:pos="9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967"/>
          <w:tab w:val="left" w:pos="7080"/>
          <w:tab w:val="left" w:pos="7788"/>
          <w:tab w:val="left" w:pos="8496"/>
          <w:tab w:val="left" w:pos="8640"/>
        </w:tabs>
        <w:ind w:left="6400" w:firstLine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647CC5"/>
    <w:multiLevelType w:val="hybridMultilevel"/>
    <w:tmpl w:val="7F4AAB40"/>
    <w:numStyleLink w:val="a"/>
  </w:abstractNum>
  <w:abstractNum w:abstractNumId="2">
    <w:nsid w:val="05873A42"/>
    <w:multiLevelType w:val="hybridMultilevel"/>
    <w:tmpl w:val="6892259A"/>
    <w:styleLink w:val="1"/>
    <w:lvl w:ilvl="0" w:tplc="03787740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4A1FC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A38FA">
      <w:start w:val="1"/>
      <w:numFmt w:val="lowerRoman"/>
      <w:lvlText w:val="%3."/>
      <w:lvlJc w:val="left"/>
      <w:pPr>
        <w:ind w:left="250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B83716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B40724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63CF2">
      <w:start w:val="1"/>
      <w:numFmt w:val="lowerRoman"/>
      <w:lvlText w:val="%6."/>
      <w:lvlJc w:val="left"/>
      <w:pPr>
        <w:ind w:left="466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7EE004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D61792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D4A4E2">
      <w:start w:val="1"/>
      <w:numFmt w:val="lowerRoman"/>
      <w:lvlText w:val="%9."/>
      <w:lvlJc w:val="left"/>
      <w:pPr>
        <w:ind w:left="682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36A7631"/>
    <w:multiLevelType w:val="hybridMultilevel"/>
    <w:tmpl w:val="6892259A"/>
    <w:numStyleLink w:val="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2B4D"/>
    <w:rsid w:val="001C4079"/>
    <w:rsid w:val="003743C8"/>
    <w:rsid w:val="00620BC3"/>
    <w:rsid w:val="00662B4D"/>
    <w:rsid w:val="00D8787A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62B4D"/>
    <w:rPr>
      <w:rFonts w:cs="Arial Unicode MS"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62B4D"/>
    <w:rPr>
      <w:u w:val="single"/>
    </w:rPr>
  </w:style>
  <w:style w:type="table" w:customStyle="1" w:styleId="TableNormal">
    <w:name w:val="Table Normal"/>
    <w:rsid w:val="00662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"/>
    <w:rsid w:val="00662B4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41">
    <w:name w:val="Заголовок 41"/>
    <w:rsid w:val="00662B4D"/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rsid w:val="00662B4D"/>
    <w:pPr>
      <w:numPr>
        <w:numId w:val="1"/>
      </w:numPr>
    </w:pPr>
  </w:style>
  <w:style w:type="paragraph" w:customStyle="1" w:styleId="A6">
    <w:name w:val="По умолчанию A"/>
    <w:rsid w:val="00662B4D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a">
    <w:name w:val="С числами"/>
    <w:rsid w:val="00662B4D"/>
    <w:pPr>
      <w:numPr>
        <w:numId w:val="3"/>
      </w:numPr>
    </w:pPr>
  </w:style>
  <w:style w:type="character" w:customStyle="1" w:styleId="Hyperlink0">
    <w:name w:val="Hyperlink.0"/>
    <w:basedOn w:val="a4"/>
    <w:rsid w:val="00662B4D"/>
    <w:rPr>
      <w:color w:val="0000FF"/>
      <w:u w:val="single" w:color="0000FF"/>
    </w:rPr>
  </w:style>
  <w:style w:type="character" w:customStyle="1" w:styleId="a7">
    <w:name w:val="Нет"/>
    <w:rsid w:val="00662B4D"/>
  </w:style>
  <w:style w:type="character" w:customStyle="1" w:styleId="Hyperlink1">
    <w:name w:val="Hyperlink.1"/>
    <w:basedOn w:val="a7"/>
    <w:rsid w:val="00662B4D"/>
    <w:rPr>
      <w:color w:val="0000FF"/>
      <w:u w:val="single" w:color="0000FF"/>
      <w:lang w:val="ru-RU"/>
    </w:rPr>
  </w:style>
  <w:style w:type="character" w:customStyle="1" w:styleId="Hyperlink2">
    <w:name w:val="Hyperlink.2"/>
    <w:basedOn w:val="a7"/>
    <w:rsid w:val="00662B4D"/>
    <w:rPr>
      <w:color w:val="000000"/>
      <w:u w:val="single" w:color="000000"/>
      <w:lang w:val="en-US"/>
    </w:rPr>
  </w:style>
  <w:style w:type="character" w:customStyle="1" w:styleId="Hyperlink00">
    <w:name w:val="Hyperlink.0.0"/>
    <w:rsid w:val="00662B4D"/>
    <w:rPr>
      <w:color w:val="000000"/>
      <w:u w:val="single" w:color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a"/>
    <w:pPr>
      <w:numPr>
        <w:numId w:val="3"/>
      </w:numPr>
    </w:pPr>
  </w:style>
  <w:style w:type="numbering" w:customStyle="1" w:styleId="TableNormal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enter.hse.ru/data/2019/12/11/1524406294/%D0%A0%D1%8B%D0%BD%D0%BE%D0%BA%20%D1%84%D0%B8%D0%BD%D0%B0%D0%BD%D1%81%D0%BE%D0%B2%D1%8B%D1%85%20%D1%82%D0%B5%D1%85%D0%BD%D0%BE%D0%BB%D0%BE%D0%B3%D0%B8%D0%B9-2019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ibrary.vogu35.ru/biblio/gorbunov/book11/2017_gorbunov_inf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fi.ru/analytics/tsifrovaya-gramotnost-rossiyan-issledovanie-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1000701</cp:lastModifiedBy>
  <cp:revision>5</cp:revision>
  <dcterms:created xsi:type="dcterms:W3CDTF">2020-08-26T11:39:00Z</dcterms:created>
  <dcterms:modified xsi:type="dcterms:W3CDTF">2020-09-21T17:22:00Z</dcterms:modified>
</cp:coreProperties>
</file>